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tabs>
          <w:tab w:val="clear" w:pos="708"/>
          <w:tab w:val="left" w:pos="8606" w:leader="none"/>
        </w:tabs>
        <w:overflowPunct w:val="true"/>
        <w:spacing w:before="0" w:after="0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32"/>
          <w:szCs w:val="32"/>
        </w:rPr>
        <w:t xml:space="preserve">П О С Т А Н О В Л Е Н И Е              </w:t>
      </w:r>
    </w:p>
    <w:tbl>
      <w:tblPr>
        <w:tblW w:w="9750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750"/>
      </w:tblGrid>
      <w:tr>
        <w:trPr>
          <w:trHeight w:val="568" w:hRule="atLeast"/>
        </w:trPr>
        <w:tc>
          <w:tcPr>
            <w:tcW w:w="975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00"/>
              <w:ind w:hanging="0" w:start="-113" w:end="0"/>
              <w:jc w:val="start"/>
              <w:rPr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от 27.02.2026                                            п.г.т. Тугулым                                                        № 105 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Об утверждении контрольных значений ключевых показателей 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социально-экономического развития 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 </w:t>
      </w:r>
      <w:r>
        <w:rPr>
          <w:rFonts w:cs="Times New Roman" w:ascii="Liberation Serif" w:hAnsi="Liberation Serif"/>
          <w:b/>
          <w:sz w:val="24"/>
          <w:szCs w:val="24"/>
        </w:rPr>
        <w:t>на 2026 год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ConsPlusTitle"/>
        <w:jc w:val="both"/>
        <w:rPr>
          <w:rFonts w:ascii="Liberation Serif" w:hAnsi="Liberation Serif"/>
        </w:rPr>
      </w:pPr>
      <w:r>
        <w:rPr>
          <w:rFonts w:ascii="Liberation Serif" w:hAnsi="Liberation Serif"/>
          <w:b w:val="false"/>
          <w:sz w:val="24"/>
          <w:szCs w:val="24"/>
        </w:rPr>
        <w:t xml:space="preserve">       </w:t>
      </w:r>
      <w:r>
        <w:rPr>
          <w:rFonts w:ascii="Liberation Serif" w:hAnsi="Liberation Serif"/>
          <w:b w:val="false"/>
          <w:sz w:val="24"/>
          <w:szCs w:val="24"/>
        </w:rPr>
        <w:tab/>
        <w:t>В соответствии с постановлением Правительства Свердловской области от 16.08.2018 № 533-ПП «О мониторинге социально-экономического развития Свердловской области и утверждении Методических рекомендаций по мониторингу социально-экономического развития муниципальных образований, расположенных на территории Свердловской области», постановлением администрации Тугулымского муниципального округа от 22.12.2025 № 865 «Об утверждении Порядка осуществления  мониторинга социально-экономического развития Тугулымского муниципального округа»,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 w:val="false"/>
          <w:sz w:val="24"/>
          <w:szCs w:val="24"/>
        </w:rPr>
        <w:t xml:space="preserve">руководствуясь Уставом Тугулымского муниципального округа Свердловской области, администрация Тугулымского муниципального округа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1. Утвердить контрольные значения ключевых показателей социально-экономического развития Тугулымского муниципального округа на 2026 год (прилагается).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2. Руководителям отраслевых (функциональных) органов, структурных подразделений администрации Тугулымского муниципального округа, муниципальных учреждений (далее ответственные исполнители) обеспечить выполнение контрольных значений ключевых показателей социально-экономического развития Тугулымского муниципального округа. </w:t>
      </w:r>
    </w:p>
    <w:p>
      <w:pPr>
        <w:pStyle w:val="Normal"/>
        <w:spacing w:lineRule="auto" w:line="240" w:before="0" w:after="0"/>
        <w:ind w:hanging="0" w:start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>3.  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spacing w:lineRule="auto" w:line="240" w:before="0" w:after="0"/>
        <w:ind w:hanging="0" w:start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4.      Контроль исполнения настоящего постановления возложить на заместителя главы Тугулымского муниципального округа Калунину М.О. 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Глава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</w:rPr>
      </w:pPr>
      <w:r>
        <w:rPr>
          <w:rFonts w:cs="Times New Roman" w:ascii="Liberation Serif" w:hAnsi="Liberation Serif"/>
          <w:sz w:val="24"/>
          <w:szCs w:val="24"/>
        </w:rPr>
        <w:t xml:space="preserve">Тугулымского муниципального округа          </w:t>
        <w:tab/>
        <w:tab/>
        <w:tab/>
        <w:t xml:space="preserve">                               А.Н. Поздеев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Утверждены  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постановлением администрации 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от 27.02.2026 № 105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Контрольные значения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 xml:space="preserve">ключевых показателей  социально-экономического развития 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  <w:t>Тугулымского муниципального округа на 2026 год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</w:t>
      </w:r>
    </w:p>
    <w:tbl>
      <w:tblPr>
        <w:tblW w:w="9807" w:type="dxa"/>
        <w:jc w:val="center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1216"/>
        <w:gridCol w:w="1782"/>
        <w:gridCol w:w="1477"/>
        <w:gridCol w:w="978"/>
        <w:gridCol w:w="1409"/>
        <w:gridCol w:w="2945"/>
      </w:tblGrid>
      <w:tr>
        <w:trPr>
          <w:tblHeader w:val="true"/>
          <w:trHeight w:val="549" w:hRule="atLeast"/>
        </w:trPr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Номер строки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Показатели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Единицы измерения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Период отчетности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Контрольное значение на 2026 год</w:t>
            </w:r>
          </w:p>
        </w:tc>
        <w:tc>
          <w:tcPr>
            <w:tcW w:w="29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Ответственные исполнители за подготовку информации</w:t>
            </w:r>
          </w:p>
        </w:tc>
      </w:tr>
      <w:tr>
        <w:trPr>
          <w:tblHeader w:val="true"/>
          <w:trHeight w:val="177" w:hRule="atLeast"/>
        </w:trPr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9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</w:tr>
      <w:tr>
        <w:trPr>
          <w:trHeight w:val="241" w:hRule="atLeast"/>
        </w:trPr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Развитие человеческого потенциала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Демографическая ситуация, семья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1. Показатели демографического развития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Calibri" w:cs="Times New Roman" w:ascii="Liberation Serif" w:hAnsi="Liberation Serif" w:eastAsiaTheme="minorHAnsi"/>
                <w:sz w:val="24"/>
                <w:szCs w:val="24"/>
                <w:lang w:eastAsia="en-US"/>
              </w:rPr>
              <w:t xml:space="preserve">Численность постоянного населения 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16,5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экономики и инвестиций администрации Тугулымского МО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(данные статистики)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родившихся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120 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родившихся на 1000 человек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умерших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умерших на 1000 человек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Естественный прирост (убыль) населения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-180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Естественный прирост (убыль) населения на 1000 человек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-10,9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185" w:hRule="atLeast"/>
        </w:trPr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1.8.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Миграционный прирост (убыль) населения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-236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прибывших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1611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выбывших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1847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зарегистрированных браков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зарегистрированных браков на 1000 человек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зарегистрированных разводов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зарегистрированных разводов на 1000 человек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Отношение числа браков к числу разводов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2.  Возрастная структура населения на начало года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2.1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постоянного населения моложе трудоспособного возраста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3178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МО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(данные статистики)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2.2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2.3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постоянного населения трудоспособного возраста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8661 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52,4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2.5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постоянного населения старше трудоспособного возраста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4661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2.6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(от общей численности населения)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28,4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1.2.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Здравоохранение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3. Медико-демографические показатели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Смертность в трудоспособном возрасте (на 100 тыс. человек)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633,3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Заместитель главы Тугулымского МО курирующий социальную сферу;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Смертность от болезней системы кровообращения (на 100 тыс. человек)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1212,1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3.3.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Смертность от новообразований (на 100 тыс. человек)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351,5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3.4.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Материнская смертность (на 100 тыс. детей, родившихся живыми)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3.5.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Младенческая смертность (на 1000 детей, родившихся живыми)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3.6.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Детская смертность (на 1000 детей в возрасте до 17 лет)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1,08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Заболеваемость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(на 1000 человек)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1535,1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Заместитель главы Тугулымского МО курирующий социальную сферу; 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686,8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3.9.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детей (на 1000 человек в возрасте до 17 лет)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1745,6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1345,3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злокачественными новообразованиями (на 100 тыс. человек)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3335,1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495,2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3.13.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туберкулезом  (на 100 тыс. человек)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119,3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35,7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ВИЧ-инфекцией (на 100 тыс. человек)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1372,2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107,4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заболеваемость артериальной гипертонией (на 1000 человек) (взрослое население)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первичная (взрослое население)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3.19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Первичная заболеваемость острым инфарктом миокарда (на 1000 человек) (взрослое население)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случаев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3.20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Пятилетняя выживаемость онкологических больных с момента установления диагноза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62,1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4. Показатели работы учреждений здравоохранения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Стационарное обслуживание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</w:t>
            </w:r>
          </w:p>
        </w:tc>
        <w:tc>
          <w:tcPr>
            <w:tcW w:w="178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больничных учреждений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больных, пролеченных в стационаре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2583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4.3.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коек в круглосуточном стационаре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4.4.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Работа койки в стационаре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дней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278,8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Средняя длительность пребывания больного на койке в стационаре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дней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Амбулаторно-поликлиническое обслуживание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4.6.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амбулаторно-поликлинических учреждений и подразделений лечебно-профилактических учреждений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 Тугулымская ЦРБ»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Проектная мощность амбулаторно-поликлинических учреждений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посещений в смену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380,0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мест дневного стационара при амбулаторно-поликлинических учреждениях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Фактическое количество посещений в амбулаторно-поликлинических учреждениях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посещений в год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190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больных, пролеченных в дневных стационарах при амбулаторно-поликлинических учреждениях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Скорая, в том числе скорая специализированная, медицинская помощь, оказываемая в неотложной форме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подстанций скорой медицинской помощи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 Тугулымская ЦРБ»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машин, обслуживающих подстанции скорой медицинской помощи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обслуженных вызовов скорой медицинской помощи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вызовов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2,620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Среднее время приезда бригады скорой медицинской помощи на место вызова при экстренных вызовах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минут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Медицинские кадры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врачей в учреждениях здравоохранения всех форм собственности (физических лиц)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39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среднего медицинского персонала в учреждениях здравоохранения всех форм собственности (физических лиц)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врачей, повысивших квалификацию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4.18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медсестер, повысивших квалификацию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5. Профилактика зависимостей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лиц, состоящих на учете с диагнозом "наркомания"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ГАУЗ СО «Тугулымская ЦРБ»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специалистов, прошедших обучение на базовых профилактических площадках по вопросам формирования культуры здорового и безопасного образа жизни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1.3.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6. Показатели развития системы образования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Дошкольное образование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детей в дошкольных образовательных учреждениях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973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детей в возрасте 3 - 7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82,0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детей в возрасте до 3 лет, получающих дошкольную образовательную услугу и (или) услугу по их содержанию в организациях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37,0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зданий дошкольных образовательных учреждений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Начальное общее, основное общее, среднее общее образование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обучающихся в дневных общеобразовательных учреждениях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2856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Количество обучающихся в общеобразовательных учреждениях всех форм собственности, занимающихся во вторую смену 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574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выпускников 11-х классов, удостоенных медали "За особые успехи в учении", в общей численности выпускников 11-х классов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Прием в дневные общеобразовательные учреждения всех форм собственности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377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1-й класс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260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10-й класс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выпускников дневных общеобразовательных учреждений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385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9-х классов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11-х классов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детей школьного возраста, не посещающих дневные общеобразовательные учреждения по неуважительной причине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1 - 4-х классах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5 - 9-х классах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10 - 11-х классах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дневных общеобразовательных учреждений в разрезе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6.19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обучающихся в вечерних (сменных) общеобразовательных учреждениях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6.20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вечерних (сменных) общеобразовательных учреждений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Дополнительное образование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6.21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учреждений дополнительного образования детей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6.22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обучающихся в учреждениях дополнительного образования детей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2542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7. Педагогические кадры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педагогических работников в дошкольных образовательных учреждениях всех форм собственности (физических лиц)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97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Управление образования  администрации Тугулымского муниципального округа </w:t>
            </w:r>
          </w:p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педагогических работников в дневных общеобразовательных учреждениях всех форм собственности (физических лиц без совместителей), имеющих высшую и первую категории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8. Оздоровительные учреждения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детей и подростков, охваченных отдыхом и оздоровлением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2454</w:t>
            </w:r>
          </w:p>
        </w:tc>
        <w:tc>
          <w:tcPr>
            <w:tcW w:w="29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оздоровительных лагерей всех форм собственности с дневным пребыванием детей (включая профильные)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Управление образования  администрации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загородных детских оздоровительных учреждений всех форм собственности (включая профильные)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детей, оздоровленных в оздоровительных лагерях всех форм собственности с дневным пребыванием детей (включая профильные)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880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детей, оздоровленных в загородных оздоровительных учреждениях всех форм собственности (включая профильные)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490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1.4.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Культура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9. Показатели развития сферы культуры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Предоставление образовательных услуг в сфере культуры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обучающихся в образовательных учреждениях в сфере культуры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получающих дошкольное образование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получающих общее образование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получающих дополнительное образование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 счет бюджетных средств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 платной основе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обучающихся в образовательных учреждениях культуры дополнительного образования детей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образовательных учреждений культуры дополнительного образования детей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Театры и учреждения, ведущие профессиональную театральную деятельность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мест в собственных театральных залах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спектаклей в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новых постановок в муниципальных театрах и учреждениях всех форм собственности, ведущих профессиональную театральную деятельность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театров и учреждений всех форм собственности, ведущих профессиональную театральную деятельность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Культурно-досуговые учреждения (центры культуры и искусства, культурно-досуговые центры)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массовых мероприятий в культурно-досуговых учреждениях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3920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участников массовых мероприятий в культурно-досуговых учреждениях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340000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культурно-досуговых учреждений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Кинотеатры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киносеансов в кинотеатрах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2500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мест в кинотеатрах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кинозалов в кинотеатрах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9.19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кинотеатров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Музеи и учреждения, ведущие профессиональную музейную деятельность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посетителей музеев (включая филиалы)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15390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передвижных музейных выставок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реализованных проектов в музеях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музеев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6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Библиотечное обслуживание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Книжный фонд библиотек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113,593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новых книг, книгоиздательской продукции и периодических изданий, приобретенных для библиотек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0,75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Списание книг и книгоиздательской продукции в библиотеках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0,65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документов библиотечного фонда, переведенных в электронную форму (приобретенные электронные издания и оцифрованные издания) в библиотеках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экземпляров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  <w:bookmarkStart w:id="0" w:name="_Hlk222994866"/>
            <w:bookmarkStart w:id="1" w:name="_Hlk222994866"/>
            <w:bookmarkEnd w:id="1"/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общедоступных библиотек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9.29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библиотечных информационных центров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10. Кадры в сфере культуры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работающих в учреждениях всех форм собственности и на предприятиях в сфере культуры (физических лиц без совместителей)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106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культуры 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количество преподавателей и концертмейстеров в образовательных учреждениях культуры (с учетом детских школ искусств)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 высшей и первой категорий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1.5.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12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Физическая культура и спорт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11. Показатели развития физической культуры и спорта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занимающихся физической культурой и спортом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10300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 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спортивных сооружений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сооружений (в том числе площадки с тренажерами и универсальные игровые площадки)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спортивных залов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плавательных бассейнов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стадионов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крытых спортивных объектов с искусственным льдом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лыжных баз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манежей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Единовременная пропускная способность спортивных сооружений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 в час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1220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построенных, реконструированных и отремонтированных плоскостных спортивных сооружений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вновь построенных плоскостных спортивных сооружений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 спортивных дворовых площадок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реконструированных и отремонтированных плоскостных спортивных сооружений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 спортивных дворовых площадок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Площадь плоскостных спортивных сооружений (на конец года)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20,350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работников физической культуры и спорта в организациях всех форм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Развитие детско-юношеского спорта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11.19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организаций,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35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 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занимающихся в организациях, реализующих программы спортивной подготовки и программы дополнительного образования в области физической культуры и спорта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10300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спортивных физкультурно-оздоровительных мероприятий</w:t>
            </w:r>
          </w:p>
        </w:tc>
      </w:tr>
      <w:tr>
        <w:trPr>
          <w:trHeight w:val="366" w:hRule="atLeast"/>
        </w:trPr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Участие в организации и проведении межмуниципальных, региональных, межрегиональных, всероссийских и международных соревнований сборных команд Российской Федерации и сборных команд муниципального образования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культуре,спорту 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Участие сборных команд муниципального образования в региональных соревнованиях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городских физкультурно-массовых мероприятий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городских спортивных соревнований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11.25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Проведение районных физкультурно-спортивных мероприятий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11.26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10,023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1.6.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832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Молодежная политика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92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12. Показатели развития сферы молодежной политики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</w:t>
            </w:r>
          </w:p>
        </w:tc>
        <w:tc>
          <w:tcPr>
            <w:tcW w:w="178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молодых людей, пользующихся услугами учреждений, реализующих государственную молодежную политику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культуре, спорту и молодежной политике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детей от 5 до 18 лет, получающих услуги дополнительного образования в сфере молодежной политики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лиц, занимающихся в учреждениях, реализующих государственную молодежную политику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участников проектов и мероприятий в сфере молодежной политики и патриотического воспитания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молодых горожан, принявших участие в мероприятиях в сфере молодежной политики, направленных на вовлечение молодежи в инновационную, предпринимательскую, добровольческую деятельность, а также развитие гражданской активности молодежи и формирование здорового образа жизни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учреждений молодежной политики, клубов по месту жительства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культуре, спорту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12.7.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аттестованных педагогических работников, работающих в клубах по месту жительства (от общего числа педагогов, работающих в клубах по месту жительства)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специалистов учреждений всех форм собственности, реализующих молодежную политику, повысивших профессиональный уровень, в общем количестве специалистов данных учреждений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подростков, вовлеченных в проекты, способствующие их интеграции в трудовую деятельность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молодых горожан, участвующих в профориентационных проектах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подростков и молодежи, выступивших организаторами мероприятий в сфере молодежной политики и патриотического воспитания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Организация отдыха детей в каникулярное время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Охват несовершеннолетних граждан сезонными формами занятости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0,092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по физической культуре, спорту и молодежной политике администрации 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12.13.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подростков группы социального риска, участвующих в летних программах органов по делам молодежи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0,014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1.7.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Социальная поддержка и социальное обслуживание населения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13. Показатели системы социального обслуживания населения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учреждений, осуществляю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щих социальную защиту населения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центров социального обслуживания населения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центров помощи семье и детям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реабилитационных центров для детей с ограниченными возможностями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реабилитационных центров для инвалидов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социально-реабилитационных центров для несовершеннолетних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учреждений стационарного социального обслуживания (пансионатов, домов-интернатов, психоневрологических интернатов)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учреждений, оказывающих социальную помощь лицам без определенного места жительства и занятий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организационно-методических центров социальной помощи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граждан, получивших социальные услуги в учреждениях социального обслуживания населения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3454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количество граждан пожилого возраста и инвалидов, получивших услуги в учреждениях социального обслуживания населения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2835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граждан, получивших услуги в центрах помощи семье и детям и реабилитационных центрах для детей с ограниченными возможностями здоровья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13.13.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получивших услуги в учреждениях нестационарного типа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получивших услуги в стационарных отделениях учреждений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36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14. Количество инвалидов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инвалидов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МО курирующий социальную сферу;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I группы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II группы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III группы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1.8.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Возможность самореализации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15. Показатели, характеризующие возможность самореализации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проектов инициативного бюджетирования, реализованных без привлечения средств областного бюджета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экономики и инвестиций администрации Тугулымского муниципального округа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проектов инициативного бюджетирования, реализованных с привлечением средств областного бюджета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Среднее число благополуча-телей по проектам инициативного бюджетирования, реализованным в отчетном году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/>
                <w:sz w:val="24"/>
                <w:szCs w:val="24"/>
              </w:rPr>
              <w:t>Развитие экономического потенциала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2.1.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Общеэкономические показатели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328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16. Основные показатели экономического развития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3871,5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(данные статистики)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обрабатыва-ющие производства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267,2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237,0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строительство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2381,1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164" w:hRule="atLeast"/>
        </w:trPr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13,4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Оборот организаций, в том числе по видам экономической деятельности: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107,8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108,3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112,2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16.13.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16.14.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строительство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107,0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16.15.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109,0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16.16.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транспортировка и хранение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105,0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16.17.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Инвестиции в основной капитал организаций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175,5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16.18.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before="0" w:after="20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103,5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16.19.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Сальдированный финансовый результат (прибыль минус убыток)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-19,1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16.20.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убыточных организаций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16.21.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субъектов малого и среднего предпринимательства, включая индивидуальных предпринимателей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410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2.2.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032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Потребительский рынок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17. Основные показатели развития потребительского рынка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60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Розничная торговля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Оборот розничной торговли в действующих ценах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2381,1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17.2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109,0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организаций розничной торговли (на конец года)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Торговые площади торгующих организаций без учета рынков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в действие объектов торговли (с учетом перепрофилирования, реконструкции и капитального ремонта)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Прирост объектов розничной торговли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Общественное питание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Оборот общественного питания в действующих ценах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78,9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предприятий общественного питания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мест на предприятиях общественного питания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1455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52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Платные и бытовые услуги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платных услуг населению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площадь предприятий бытового обслуживания (на конец периода)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1,226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предприятий сферы бытового обслуживания (на конец периода)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Единовременная вместимость гостиниц (на конец периода)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мест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новых гостиниц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гостиниц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2.3.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976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Базовые отрасли материального производства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18. Промышленное производство и сельское хозяйство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237,0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237,0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по промышленным видам экономической деятельности, в том числе по видам экономической деятельности: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112,2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18.8.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 в действующих ценах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112,2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Сельское хозяйство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18.9.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отгруженных товаров собственного производства, выполненных работ и услуг организаций по виду деятельности "Сельское, лесное хозяйство, охота, рыболовство и рыбоводство"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932,8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2.4.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Рынок труда и безработица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19. Основные показатели, характеризующие рынок труда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работников крупных и средних предприятий с распределением по видам экономической деятельности: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2834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550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491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899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390" w:hRule="atLeast"/>
        </w:trPr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67654,8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54770,0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58683,2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44132,3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57234,0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70013,2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72650,0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79193,0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19.19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Среднемесячная номинальная начисленная заработная плата работников организаций, в том числе по видам экономической деятельности: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118,2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добыча полезных ископаемых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110,6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116,0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112,1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114,0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здравоохранения и социальных услуг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119,0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125,5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области культуры, спорта, организации досуга и развлечений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к предыдущему году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118,7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Численность безработных граждан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19.29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Уровень зарегистрированной безработицы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1,01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19.30.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вакансий на 1 января текущего года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19.31.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лиц, обратившихся за содействием в поисках подходящей работы в государственные учреждения службы занятости населения Свердловской области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трудоустроенных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19.33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Коэффициент напряженности рынка труда на конец года (количество лиц, не занятых трудовой деятельностью, на одну вакансию)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 на вакансию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2.5.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Бюджет муниципального образования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20. Исполнение бюджета муниципального образования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Все доходы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1966,1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Финансовое управление администрации Тугулымского муниципального округа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1) налоговые доходы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539,4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налоги на прибыль, доходы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133,5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налоги на совокупный доход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налоги на имущество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земельный налог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2) неналоговые доходы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36,8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20.19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16,3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1389,8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субсидии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44,1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субвенции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809,5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дотации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536,2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Расходы, в том числе по основным статьям расходов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1981,0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Liberation Serif" w:hAnsi="Liberation Serif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197,7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Финансовое управление администрации Тугулымского муниципального округа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20.29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национальная экономика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170,1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0,83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транспорт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155,0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связь и информатика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жилищно-коммунальное хозяйство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58,5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жилищное хозяйство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коммунальное хозяйство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bottom"/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29,6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20.39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благоустройство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образование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1078,8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дошкольное образование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406,1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общее образование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672,7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210,3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здравоохранение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51,3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социальная политика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180,3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20.49.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Дефицит (-), профицит (+)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-14,9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2.6.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</w:t>
            </w:r>
          </w:p>
        </w:tc>
        <w:tc>
          <w:tcPr>
            <w:tcW w:w="8591" w:type="dxa"/>
            <w:gridSpan w:val="5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21. Показатели доступности информационно-телекоммуникационной сети "Интернет" (далее - сеть Интернет)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лиц (домохозяйств), имеющих доступ к сети Интернет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Заместитель главы Тугулымского муниципального округа 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курирующий  данную сферу 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домохозяйств, имеющих широкополосный доступ к сети Интернет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домашних хозяйств, имеющих доступ к сети Интернет, в общем числе домашних хозяйств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объектов социальной инфраструктуры, имеющих широкополосный доступ к сети Интернет (с наличием необходимого для функционирования оборудования)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21.5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социально значимых объектов, имеющих широкополосный доступ к сети Интернет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944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22. Предоставление государственных и муниципальных услуг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муниципальных (государственных) услуг, предоставляемых администрацией муниципального образования и подведомственными учреждениями (организациями) в электронном виде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экономики и инвестиций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заявлений, поступивших в электронном виде, от общего количества заявлений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83,5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22.3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Среднее время ожидания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 услуг)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минут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Развитие инженерной инфраструктуры и жилищно-коммунального хозяйства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80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23. Коммунальное хозяйство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Протяженность тепловых сетей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31,9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Протяженность водопроводных сетей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77,00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Протяженность сетей водоотведения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повреждений на сетях теплоснабжения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Капитальный ремонт и реконструкция тепловых сетей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повреждений на водопроводных сетях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Капитальный ремонт и перекладка сетей водоснабжения и водоотведения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лифтов, требующих замены в связи с техническими требованиями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многоквартирных домов, оборудованных приборами учета холодной воды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квартир, плата по счетам за которые производится по показаниям приборов учета холодного и горячего водоснабжения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24. Газоснабжение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Перекладка газопроводов (за счет всех источников финансирования)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24.2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Капитальное строительство газопроводов высокого и низкого давления (за счет всех источников финансирования)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километров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25. Электроснабжение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Реализация электроэнергии на территории муниципального образования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киловатт-часов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85,0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повреждений на электросетях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 подстанциях и трансформаторных подстанциях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на кабельных и воздушных линиях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26. Жилищное хозяйство и жилищная политика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Общий объем жилищного фонда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670,0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Обеспеченность жильем на 1 жителя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 на человека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40,5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Задолженность населения по оплате жилищно-коммунальных услуг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58,0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 задолженность более чем за шесть месяцев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площадь капитально отремонтированных жилых домов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2,569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Общая площадь жилищного фонда, признанного аварийным в установленном порядке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15,0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 строительства и архитектуры  администрации  Тугулымского муниципального округа  </w:t>
            </w:r>
          </w:p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семей, переселенных из ветхих и аварийных домов в благоустроенные жилые помещения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семей, переселенных из ветхих и аварийных домов в благоустроенные жилые помещения, в общем количестве семей, проживающих в ветхом фонде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26.9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семей, получивших субсидии на оплату жилого помещения и коммунальных услуг, по состоянию на конец отчетного периода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семей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0,460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субсидий и компенсаций  МКУ АХУ Тугулымского муниципального округа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26.10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начисленных субсидий на оплату жилого помещения и коммунальных услуг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рублей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19,1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26.11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граждан, состоящих на учете в качестве нуждающихся в жилых помещениях на условиях социального найма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481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имущественных и земельных отношений администрации Тугулымского муниципального  округа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26.12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молодых семей, признанных нуждающимися в улучшении жилищных условий для предоставления социальных выплат на приобретение жилья (на конец периода)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семья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36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Развитие транспортной инфраструктуры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27. Строительство и ремонт объектов улично-дорожной сети на территории муниципального образования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Строительство и реконструкция дорог (за счет всех источников финансирования)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Строительство и реконструкция тротуаров (за счет всех источников финансирования)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Капитальный ремонт дорог (за счет всех источников финансирования)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Ремонт дорог (за счет всех источников финансирования)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27.5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Ремонт тротуаров (за счет всех источников финансирования)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64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28. Городской транспорт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Перевозка пассажиров транспортом общего пользования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поездок</w:t>
            </w:r>
          </w:p>
        </w:tc>
        <w:tc>
          <w:tcPr>
            <w:tcW w:w="97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0,091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муниципального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маршрутов городского пассажирского транспорта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28.3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населения, проживающего в населенных пунктах, не имеющих регулярного транспортного сообщения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1,6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Экология, благоустроенная городская среда, рекреационные зоны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248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Таблица 29. Экология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выбросов вредных веществ в атмосферу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 том числе: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0,03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стационарными источниками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передвижными источниками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0,03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Комплексный индекс загрязнения атмосферы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29.5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Удельный объем выбросов загрязняющих веществ на одного жителя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тонн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29.6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сброса сточных вод в поверхностные водные объекты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куб.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29.7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сброса загрязненных сточных вод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млн. куб.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29.8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Объем отходов, поступающих для размещения на городские полигоны твердых коммунальных отходов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тонн</w:t>
            </w:r>
          </w:p>
          <w:p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29.9.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отходов, направленных на переработку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29.10.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Доля жилищного фонда, в котором осуществляется раздельный сбор отходов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30. Благоустройство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30.1</w:t>
            </w:r>
          </w:p>
        </w:tc>
        <w:tc>
          <w:tcPr>
            <w:tcW w:w="178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Площадь дорог, на которых выполнялись работы по их содержанию</w:t>
            </w:r>
          </w:p>
        </w:tc>
        <w:tc>
          <w:tcPr>
            <w:tcW w:w="147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2962,5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 главы Тугулымского муниципального  округа курирующий сферу ЖКХ;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жилищно-коммунального хозяйства и транспорта  администрации  Тугулымского муниципального округа  </w:t>
            </w:r>
          </w:p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Площадь тротуаров, на которых выполнялись работы по их содержанию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30.3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Ремонт колодцев ливневой канализации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Безопасность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31. Правопорядок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31.1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зарегистрированных преступлений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234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Заместитель главы Тугулымского муниципального округа курирующий социальную сферу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31.2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Уровень преступности среди несовершен-нолетних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5,4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31.3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Количество раскрытых преступлений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154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31.4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добровольных народных дружин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31.5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Охват видеонаблюдением улиц, парков, скверов, дворовых территорий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31.6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100,0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Развитие гражданского общества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32.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680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32. Показатели, характеризующие развитие гражданского общества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32.1.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волонтеров, постоянно участвующих в проектах, организуемых органами региональной и муниципальной власти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3600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Заместитель главы Тугулымского муниципального округа курирующий социальную сферу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32.2.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Число социально-культурных проектов, проектов благоустройства, реализуемых общественными организациями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единиц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2032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bCs/>
                <w:sz w:val="24"/>
                <w:szCs w:val="24"/>
              </w:rPr>
              <w:t>Градостроительство, землепользование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1136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33. Ввод в эксплуатацию объектов жилого и нежилого назначения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33.1.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жилья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11,491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строительства и архитектуры</w:t>
            </w:r>
          </w:p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администрации Тугулымского муниципального округа 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33.2.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тыс. кв. метров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33.3.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Ввод нежилых помещений, в том числе складских, офисных, торговых, гостиничных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кв. метров на человека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0,18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</w:t>
            </w:r>
          </w:p>
        </w:tc>
        <w:tc>
          <w:tcPr>
            <w:tcW w:w="8591" w:type="dxa"/>
            <w:gridSpan w:val="5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592" w:leader="none"/>
              </w:tabs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Таблица 34. Структура разграниченных земель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34.1.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Земли, находящиеся в федеральной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251846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 xml:space="preserve">Отдел имущественных и земельных отношений администрации Тугулымского муниципального округа 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34.2.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75,57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34.3.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из них земли сельскохозяйственного назначения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69358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34.4.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50,37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34.5.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Земли, находящиеся в собственности субъекта Российской Федерации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3164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34.6.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0,95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34.7.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Земли, находящиеся в муниципальной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48721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34.8.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14,62</w:t>
            </w:r>
          </w:p>
        </w:tc>
        <w:tc>
          <w:tcPr>
            <w:tcW w:w="2945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Отдел имущественных и земельных отношений администрации Тугулымского муниципального округа</w:t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34.9.</w:t>
            </w:r>
          </w:p>
        </w:tc>
        <w:tc>
          <w:tcPr>
            <w:tcW w:w="178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Земли, находящиеся в частной собственности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29520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34.10.</w:t>
            </w:r>
          </w:p>
        </w:tc>
        <w:tc>
          <w:tcPr>
            <w:tcW w:w="178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процентов в общей площади муниципального образования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8,86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/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34.11.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юридических лиц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13364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  <w:tr>
        <w:trPr>
          <w:trHeight w:val="49" w:hRule="atLeast"/>
        </w:trPr>
        <w:tc>
          <w:tcPr>
            <w:tcW w:w="121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34.12.</w:t>
            </w:r>
          </w:p>
        </w:tc>
        <w:tc>
          <w:tcPr>
            <w:tcW w:w="178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физических лиц</w:t>
            </w:r>
          </w:p>
        </w:tc>
        <w:tc>
          <w:tcPr>
            <w:tcW w:w="147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гектаров</w:t>
            </w:r>
          </w:p>
        </w:tc>
        <w:tc>
          <w:tcPr>
            <w:tcW w:w="97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год</w:t>
            </w:r>
          </w:p>
        </w:tc>
        <w:tc>
          <w:tcPr>
            <w:tcW w:w="14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  <w:t>16156</w:t>
            </w:r>
          </w:p>
        </w:tc>
        <w:tc>
          <w:tcPr>
            <w:tcW w:w="2945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Normal"/>
              <w:jc w:val="end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cs="Times New Roman"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spacing w:before="0" w:after="20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455" w:right="850" w:gutter="0" w:header="0" w:top="868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32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14c16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basedOn w:val="DefaultParagraphFont"/>
    <w:qFormat/>
    <w:rsid w:val="00514c16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514c16"/>
    <w:rPr>
      <w:rFonts w:ascii="Tahoma" w:hAnsi="Tahoma" w:eastAsia="Times New Roman" w:cs="Tahoma"/>
      <w:sz w:val="16"/>
      <w:szCs w:val="16"/>
      <w:lang w:eastAsia="ru-RU"/>
    </w:rPr>
  </w:style>
  <w:style w:type="character" w:styleId="Style16" w:customStyle="1">
    <w:name w:val="Верхний колонтитул Знак"/>
    <w:basedOn w:val="DefaultParagraphFont"/>
    <w:uiPriority w:val="99"/>
    <w:qFormat/>
    <w:rsid w:val="00f97b48"/>
    <w:rPr>
      <w:rFonts w:ascii="Calibri" w:hAnsi="Calibri" w:eastAsia="Times New Roman" w:cs="Calibri"/>
      <w:lang w:eastAsia="ru-RU"/>
    </w:rPr>
  </w:style>
  <w:style w:type="character" w:styleId="1" w:customStyle="1">
    <w:name w:val="Верхний колонтитул Знак1"/>
    <w:basedOn w:val="DefaultParagraphFont"/>
    <w:uiPriority w:val="99"/>
    <w:semiHidden/>
    <w:qFormat/>
    <w:rsid w:val="00f97b48"/>
    <w:rPr>
      <w:rFonts w:ascii="Calibri" w:hAnsi="Calibri" w:eastAsia="Times New Roman" w:cs="Calibri"/>
      <w:lang w:eastAsia="ru-RU"/>
    </w:rPr>
  </w:style>
  <w:style w:type="character" w:styleId="Style17" w:customStyle="1">
    <w:name w:val="Нижний колонтитул Знак"/>
    <w:basedOn w:val="DefaultParagraphFont"/>
    <w:uiPriority w:val="99"/>
    <w:qFormat/>
    <w:rsid w:val="00f97b48"/>
    <w:rPr>
      <w:rFonts w:ascii="Calibri" w:hAnsi="Calibri" w:eastAsia="Times New Roman" w:cs="Calibri"/>
      <w:lang w:eastAsia="ru-RU"/>
    </w:rPr>
  </w:style>
  <w:style w:type="character" w:styleId="11" w:customStyle="1">
    <w:name w:val="Нижний колонтитул Знак1"/>
    <w:basedOn w:val="DefaultParagraphFont"/>
    <w:uiPriority w:val="99"/>
    <w:semiHidden/>
    <w:qFormat/>
    <w:rsid w:val="00f97b48"/>
    <w:rPr>
      <w:rFonts w:ascii="Calibri" w:hAnsi="Calibri" w:eastAsia="Times New Roman" w:cs="Calibri"/>
      <w:lang w:eastAsia="ru-RU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ed54ed"/>
    <w:pPr>
      <w:spacing w:before="0" w:after="140"/>
    </w:pPr>
    <w:rPr/>
  </w:style>
  <w:style w:type="paragraph" w:styleId="List">
    <w:name w:val="List"/>
    <w:basedOn w:val="BodyText"/>
    <w:rsid w:val="00ed54ed"/>
    <w:pPr/>
    <w:rPr>
      <w:rFonts w:cs="Noto Sans"/>
    </w:rPr>
  </w:style>
  <w:style w:type="paragraph" w:styleId="Caption">
    <w:name w:val="caption"/>
    <w:basedOn w:val="Normal"/>
    <w:qFormat/>
    <w:rsid w:val="00ed54ed"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link w:val="Style14"/>
    <w:qFormat/>
    <w:rsid w:val="00514c16"/>
    <w:pPr>
      <w:spacing w:lineRule="auto" w:line="240" w:before="0" w:after="0"/>
      <w:jc w:val="center"/>
    </w:pPr>
    <w:rPr>
      <w:rFonts w:ascii="Times New Roman" w:hAnsi="Times New Roman" w:cs="Times New Roman"/>
      <w:b/>
      <w:bCs/>
      <w:sz w:val="20"/>
      <w:szCs w:val="20"/>
    </w:rPr>
  </w:style>
  <w:style w:type="paragraph" w:styleId="IndexHeading">
    <w:name w:val="index heading"/>
    <w:basedOn w:val="Normal"/>
    <w:qFormat/>
    <w:rsid w:val="00ed54ed"/>
    <w:pPr>
      <w:suppressLineNumbers/>
    </w:pPr>
    <w:rPr>
      <w:rFonts w:cs="Noto Sans"/>
    </w:rPr>
  </w:style>
  <w:style w:type="paragraph" w:styleId="ConsPlusCell" w:customStyle="1">
    <w:name w:val="ConsPlusCell"/>
    <w:qFormat/>
    <w:rsid w:val="00514c16"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514c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bb6bea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b/>
      <w:bCs/>
      <w:color w:val="auto"/>
      <w:kern w:val="0"/>
      <w:sz w:val="26"/>
      <w:szCs w:val="26"/>
      <w:lang w:val="ru-RU" w:eastAsia="ru-RU" w:bidi="ar-SA"/>
    </w:rPr>
  </w:style>
  <w:style w:type="paragraph" w:styleId="user2" w:customStyle="1">
    <w:name w:val="Колонтитулы (user)"/>
    <w:basedOn w:val="Normal"/>
    <w:qFormat/>
    <w:rsid w:val="00ed54ed"/>
    <w:pPr/>
    <w:rPr/>
  </w:style>
  <w:style w:type="paragraph" w:styleId="Style20">
    <w:name w:val="Колонтитулы"/>
    <w:basedOn w:val="Normal"/>
    <w:qFormat/>
    <w:pPr/>
    <w:rPr/>
  </w:style>
  <w:style w:type="paragraph" w:styleId="Header">
    <w:name w:val="header"/>
    <w:basedOn w:val="Normal"/>
    <w:link w:val="Style16"/>
    <w:uiPriority w:val="99"/>
    <w:unhideWhenUsed/>
    <w:rsid w:val="00f97b4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7"/>
    <w:uiPriority w:val="99"/>
    <w:unhideWhenUsed/>
    <w:rsid w:val="00f97b48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ConsPlusNormal" w:customStyle="1">
    <w:name w:val="ConsPlusNormal"/>
    <w:qFormat/>
    <w:rsid w:val="00f97b48"/>
    <w:pPr>
      <w:widowControl w:val="false"/>
      <w:suppressAutoHyphens w:val="true"/>
      <w:bidi w:val="0"/>
      <w:spacing w:before="0" w:after="0"/>
      <w:jc w:val="star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val="ru-RU" w:eastAsia="ru-RU" w:bidi="ar-SA"/>
    </w:rPr>
  </w:style>
  <w:style w:type="numbering" w:styleId="Style21" w:default="1">
    <w:name w:val="Без списка"/>
    <w:uiPriority w:val="99"/>
    <w:semiHidden/>
    <w:unhideWhenUsed/>
    <w:qFormat/>
  </w:style>
  <w:style w:type="numbering" w:styleId="user3" w:customStyle="1">
    <w:name w:val="Без списка (user)"/>
    <w:uiPriority w:val="99"/>
    <w:semiHidden/>
    <w:unhideWhenUsed/>
    <w:qFormat/>
    <w:rsid w:val="00ed54ed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23bbf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6883D-0EAB-472B-979C-71E5236FE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LibreOffice/25.8.4.2$Linux_X86_64 LibreOffice_project/290daaa01b999472f0c7a3890eb6a550fd74c6df</Application>
  <AppVersion>15.0000</AppVersion>
  <Pages>52</Pages>
  <Words>5884</Words>
  <Characters>40298</Characters>
  <CharactersWithSpaces>44268</CharactersWithSpaces>
  <Paragraphs>2217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2026-03-03T11:48:00Z</dcterms:created>
  <dc:creator>SNA19</dc:creator>
  <dc:description/>
  <dc:language>ru-RU</dc:language>
  <cp:lastModifiedBy/>
  <cp:lastPrinted>2026-03-04T09:39:15Z</cp:lastPrinted>
  <dcterms:modified xsi:type="dcterms:W3CDTF">2026-03-04T14:39:26Z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